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D6" w:rsidRPr="00770820" w:rsidRDefault="00DE75D6" w:rsidP="00DE75D6">
      <w:pPr>
        <w:jc w:val="center"/>
        <w:rPr>
          <w:rFonts w:cs="Arial"/>
          <w:b/>
          <w:sz w:val="28"/>
        </w:rPr>
      </w:pPr>
      <w:r w:rsidRPr="00770820">
        <w:rPr>
          <w:rFonts w:cs="Arial"/>
          <w:b/>
          <w:sz w:val="28"/>
        </w:rPr>
        <w:t>S</w:t>
      </w:r>
      <w:r w:rsidR="003608DF">
        <w:rPr>
          <w:rFonts w:cs="Arial"/>
          <w:b/>
          <w:sz w:val="28"/>
        </w:rPr>
        <w:t>crutiny recommendation tracker</w:t>
      </w:r>
      <w:r w:rsidRPr="00770820">
        <w:rPr>
          <w:rFonts w:cs="Arial"/>
          <w:b/>
          <w:sz w:val="28"/>
        </w:rPr>
        <w:t xml:space="preserve"> </w:t>
      </w:r>
      <w:r w:rsidR="003608DF">
        <w:rPr>
          <w:rFonts w:cs="Arial"/>
          <w:b/>
          <w:sz w:val="28"/>
        </w:rPr>
        <w:t xml:space="preserve">2016/17 </w:t>
      </w:r>
      <w:r w:rsidR="001C08EF">
        <w:rPr>
          <w:rFonts w:cs="Arial"/>
          <w:b/>
          <w:sz w:val="28"/>
        </w:rPr>
        <w:t>–</w:t>
      </w:r>
      <w:r w:rsidR="003608DF">
        <w:rPr>
          <w:rFonts w:cs="Arial"/>
          <w:b/>
          <w:sz w:val="28"/>
        </w:rPr>
        <w:t xml:space="preserve"> </w:t>
      </w:r>
      <w:r w:rsidR="00AB73AB">
        <w:rPr>
          <w:rFonts w:cs="Arial"/>
          <w:b/>
          <w:sz w:val="28"/>
        </w:rPr>
        <w:t>November</w:t>
      </w:r>
      <w:r w:rsidR="001C08EF">
        <w:rPr>
          <w:rFonts w:cs="Arial"/>
          <w:b/>
          <w:sz w:val="28"/>
        </w:rPr>
        <w:t xml:space="preserve"> 2016</w:t>
      </w:r>
    </w:p>
    <w:p w:rsidR="00DE75D6" w:rsidRDefault="00DE75D6" w:rsidP="00ED7F43">
      <w:pPr>
        <w:rPr>
          <w:rFonts w:cs="Arial"/>
          <w:b/>
        </w:rPr>
      </w:pPr>
    </w:p>
    <w:p w:rsidR="003608DF" w:rsidRPr="00FA7C29" w:rsidRDefault="009318D7" w:rsidP="00D07958">
      <w:pPr>
        <w:rPr>
          <w:rFonts w:cs="Arial"/>
          <w:sz w:val="22"/>
        </w:rPr>
      </w:pPr>
      <w:r>
        <w:rPr>
          <w:rFonts w:cs="Arial"/>
          <w:sz w:val="22"/>
        </w:rPr>
        <w:t>Total recommendations:</w:t>
      </w:r>
      <w:r>
        <w:rPr>
          <w:rFonts w:cs="Arial"/>
          <w:sz w:val="22"/>
        </w:rPr>
        <w:tab/>
        <w:t>63</w:t>
      </w:r>
      <w:bookmarkStart w:id="0" w:name="_GoBack"/>
      <w:bookmarkEnd w:id="0"/>
    </w:p>
    <w:p w:rsidR="003608DF" w:rsidRPr="00FA7C29" w:rsidRDefault="009318D7" w:rsidP="003608DF">
      <w:pPr>
        <w:ind w:firstLine="720"/>
        <w:rPr>
          <w:rFonts w:cs="Arial"/>
          <w:sz w:val="22"/>
        </w:rPr>
      </w:pPr>
      <w:r>
        <w:rPr>
          <w:rFonts w:cs="Arial"/>
          <w:sz w:val="22"/>
        </w:rPr>
        <w:t>Agreed</w:t>
      </w:r>
      <w:r>
        <w:rPr>
          <w:rFonts w:cs="Arial"/>
          <w:sz w:val="22"/>
        </w:rPr>
        <w:tab/>
      </w:r>
      <w:r>
        <w:rPr>
          <w:rFonts w:cs="Arial"/>
          <w:sz w:val="22"/>
        </w:rPr>
        <w:tab/>
      </w:r>
      <w:r>
        <w:rPr>
          <w:rFonts w:cs="Arial"/>
          <w:sz w:val="22"/>
        </w:rPr>
        <w:tab/>
        <w:t>45</w:t>
      </w:r>
      <w:r w:rsidR="001C08EF">
        <w:rPr>
          <w:rFonts w:cs="Arial"/>
          <w:sz w:val="22"/>
        </w:rPr>
        <w:tab/>
        <w:t>7</w:t>
      </w:r>
      <w:r w:rsidR="009354C7">
        <w:rPr>
          <w:rFonts w:cs="Arial"/>
          <w:sz w:val="22"/>
        </w:rPr>
        <w:t>2</w:t>
      </w:r>
      <w:r w:rsidR="001C08EF">
        <w:rPr>
          <w:rFonts w:cs="Arial"/>
          <w:sz w:val="22"/>
        </w:rPr>
        <w:t>%</w:t>
      </w:r>
    </w:p>
    <w:p w:rsidR="003608DF" w:rsidRPr="00FA7C29" w:rsidRDefault="009318D7" w:rsidP="003608DF">
      <w:pPr>
        <w:ind w:firstLine="720"/>
        <w:rPr>
          <w:rFonts w:cs="Arial"/>
          <w:sz w:val="22"/>
        </w:rPr>
      </w:pPr>
      <w:r>
        <w:rPr>
          <w:rFonts w:cs="Arial"/>
          <w:sz w:val="22"/>
        </w:rPr>
        <w:t>Agreed in part</w:t>
      </w:r>
      <w:r>
        <w:rPr>
          <w:rFonts w:cs="Arial"/>
          <w:sz w:val="22"/>
        </w:rPr>
        <w:tab/>
      </w:r>
      <w:r>
        <w:rPr>
          <w:rFonts w:cs="Arial"/>
          <w:sz w:val="22"/>
        </w:rPr>
        <w:tab/>
        <w:t>7</w:t>
      </w:r>
      <w:r w:rsidR="001C08EF">
        <w:rPr>
          <w:rFonts w:cs="Arial"/>
          <w:sz w:val="22"/>
        </w:rPr>
        <w:tab/>
      </w:r>
      <w:r w:rsidR="009354C7">
        <w:rPr>
          <w:rFonts w:cs="Arial"/>
          <w:sz w:val="22"/>
        </w:rPr>
        <w:t>11</w:t>
      </w:r>
      <w:r w:rsidR="001C08EF">
        <w:rPr>
          <w:rFonts w:cs="Arial"/>
          <w:sz w:val="22"/>
        </w:rPr>
        <w:t>%</w:t>
      </w:r>
    </w:p>
    <w:p w:rsidR="003608DF" w:rsidRPr="00FA7C29" w:rsidRDefault="009318D7" w:rsidP="003608DF">
      <w:pPr>
        <w:ind w:firstLine="720"/>
        <w:rPr>
          <w:rFonts w:cs="Arial"/>
          <w:sz w:val="22"/>
        </w:rPr>
      </w:pPr>
      <w:r>
        <w:rPr>
          <w:rFonts w:cs="Arial"/>
          <w:sz w:val="22"/>
        </w:rPr>
        <w:t>Not agreed</w:t>
      </w:r>
      <w:r>
        <w:rPr>
          <w:rFonts w:cs="Arial"/>
          <w:sz w:val="22"/>
        </w:rPr>
        <w:tab/>
      </w:r>
      <w:r>
        <w:rPr>
          <w:rFonts w:cs="Arial"/>
          <w:sz w:val="22"/>
        </w:rPr>
        <w:tab/>
        <w:t>11</w:t>
      </w:r>
      <w:r w:rsidR="003608DF" w:rsidRPr="00FA7C29">
        <w:rPr>
          <w:rFonts w:cs="Arial"/>
          <w:sz w:val="22"/>
        </w:rPr>
        <w:tab/>
      </w:r>
      <w:r>
        <w:rPr>
          <w:rFonts w:cs="Arial"/>
          <w:sz w:val="22"/>
        </w:rPr>
        <w:t>17</w:t>
      </w:r>
      <w:r w:rsidR="001C08EF">
        <w:rPr>
          <w:rFonts w:cs="Arial"/>
          <w:sz w:val="22"/>
        </w:rPr>
        <w:t>%</w:t>
      </w:r>
    </w:p>
    <w:p w:rsidR="003608DF" w:rsidRDefault="003608DF" w:rsidP="00D07958">
      <w:pPr>
        <w:rPr>
          <w:rFonts w:cs="Arial"/>
          <w:sz w:val="22"/>
        </w:rPr>
      </w:pPr>
    </w:p>
    <w:p w:rsidR="00AB73AB" w:rsidRDefault="00AB73AB" w:rsidP="00D07958">
      <w:pPr>
        <w:rPr>
          <w:rFonts w:cs="Arial"/>
          <w:sz w:val="22"/>
        </w:rPr>
      </w:pPr>
    </w:p>
    <w:p w:rsidR="00FE5C51" w:rsidRDefault="00FE5C51" w:rsidP="00D07958">
      <w:pPr>
        <w:rPr>
          <w:rFonts w:cs="Arial"/>
          <w:sz w:val="22"/>
        </w:rPr>
      </w:pPr>
    </w:p>
    <w:p w:rsidR="00FE5C51" w:rsidRPr="00FE5C51" w:rsidRDefault="00FE5C51" w:rsidP="00D07958">
      <w:pPr>
        <w:rPr>
          <w:rFonts w:cs="Arial"/>
        </w:rPr>
      </w:pPr>
      <w:r w:rsidRPr="00FE5C51">
        <w:rPr>
          <w:rFonts w:cs="Arial"/>
          <w:b/>
        </w:rPr>
        <w:t>17 NOVEMBER 2016 CITY EXECUTIVE BOARD</w:t>
      </w:r>
    </w:p>
    <w:p w:rsidR="001F03AC" w:rsidRDefault="001F03AC" w:rsidP="00D07958">
      <w:pPr>
        <w:rPr>
          <w:rFonts w:cs="Arial"/>
          <w:b/>
        </w:rPr>
      </w:pPr>
    </w:p>
    <w:p w:rsidR="00AB73AB" w:rsidRDefault="00AB73AB" w:rsidP="00D07958">
      <w:pPr>
        <w:rPr>
          <w:rFonts w:cs="Arial"/>
          <w:b/>
        </w:rPr>
      </w:pPr>
    </w:p>
    <w:p w:rsidR="00FE5C51" w:rsidRPr="00FE5C51" w:rsidRDefault="00FE5C51" w:rsidP="00FE5C51">
      <w:pPr>
        <w:rPr>
          <w:rFonts w:cs="Arial"/>
          <w:b/>
          <w:sz w:val="22"/>
        </w:rPr>
      </w:pPr>
      <w:r w:rsidRPr="00FE5C51">
        <w:rPr>
          <w:rFonts w:cs="Arial"/>
          <w:b/>
          <w:sz w:val="22"/>
        </w:rPr>
        <w:t>Planning Annual Monitoring Report (AMR)</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276"/>
        <w:gridCol w:w="6945"/>
      </w:tblGrid>
      <w:tr w:rsidR="00FE5C51" w:rsidRPr="00FE5C51" w:rsidTr="0075586B">
        <w:tc>
          <w:tcPr>
            <w:tcW w:w="6062" w:type="dxa"/>
            <w:shd w:val="clear" w:color="auto" w:fill="D9D9D9"/>
            <w:vAlign w:val="center"/>
          </w:tcPr>
          <w:p w:rsidR="00FE5C51" w:rsidRPr="00FE5C51" w:rsidRDefault="00FE5C51" w:rsidP="00FE5C51">
            <w:pPr>
              <w:rPr>
                <w:rFonts w:cs="Arial"/>
                <w:b/>
                <w:i/>
                <w:sz w:val="22"/>
              </w:rPr>
            </w:pPr>
            <w:r w:rsidRPr="00FE5C51">
              <w:rPr>
                <w:rFonts w:cs="Arial"/>
                <w:b/>
                <w:i/>
                <w:sz w:val="22"/>
              </w:rPr>
              <w:t>Recommendation</w:t>
            </w:r>
          </w:p>
        </w:tc>
        <w:tc>
          <w:tcPr>
            <w:tcW w:w="1276" w:type="dxa"/>
            <w:shd w:val="clear" w:color="auto" w:fill="D9D9D9"/>
            <w:vAlign w:val="center"/>
          </w:tcPr>
          <w:p w:rsidR="00FE5C51" w:rsidRPr="00FE5C51" w:rsidRDefault="00FE5C51" w:rsidP="00FE5C51">
            <w:pPr>
              <w:rPr>
                <w:rFonts w:cs="Arial"/>
                <w:b/>
                <w:i/>
                <w:sz w:val="22"/>
              </w:rPr>
            </w:pPr>
            <w:r w:rsidRPr="00FE5C51">
              <w:rPr>
                <w:rFonts w:cs="Arial"/>
                <w:b/>
                <w:i/>
                <w:sz w:val="22"/>
              </w:rPr>
              <w:t>Agreed?</w:t>
            </w:r>
          </w:p>
        </w:tc>
        <w:tc>
          <w:tcPr>
            <w:tcW w:w="6945" w:type="dxa"/>
            <w:shd w:val="clear" w:color="auto" w:fill="D9D9D9"/>
            <w:vAlign w:val="center"/>
          </w:tcPr>
          <w:p w:rsidR="00FE5C51" w:rsidRPr="00FE5C51" w:rsidRDefault="00FE5C51" w:rsidP="00FE5C51">
            <w:pPr>
              <w:rPr>
                <w:rFonts w:cs="Arial"/>
                <w:b/>
                <w:i/>
                <w:sz w:val="22"/>
              </w:rPr>
            </w:pPr>
            <w:r w:rsidRPr="00FE5C51">
              <w:rPr>
                <w:rFonts w:cs="Arial"/>
                <w:b/>
                <w:i/>
                <w:sz w:val="22"/>
              </w:rPr>
              <w:t>Comment</w:t>
            </w:r>
          </w:p>
        </w:tc>
      </w:tr>
      <w:tr w:rsidR="00FE5C51" w:rsidRPr="00FE5C51" w:rsidTr="0075586B">
        <w:tc>
          <w:tcPr>
            <w:tcW w:w="6062" w:type="dxa"/>
            <w:shd w:val="clear" w:color="auto" w:fill="auto"/>
          </w:tcPr>
          <w:p w:rsidR="00FE5C51" w:rsidRPr="00FE5C51" w:rsidRDefault="00FE5C51" w:rsidP="00FE5C51">
            <w:pPr>
              <w:rPr>
                <w:rFonts w:cs="Arial"/>
                <w:sz w:val="22"/>
              </w:rPr>
            </w:pPr>
            <w:r w:rsidRPr="00FE5C51">
              <w:rPr>
                <w:rFonts w:cs="Arial"/>
                <w:sz w:val="22"/>
              </w:rPr>
              <w:t>1. That consideration is given to whether or not indicator 33: Traffic growth at inner and outer cordons should be included in future Annual Monitoring Reports, and that reasons are provided either way.</w:t>
            </w:r>
          </w:p>
        </w:tc>
        <w:tc>
          <w:tcPr>
            <w:tcW w:w="1276" w:type="dxa"/>
            <w:shd w:val="clear" w:color="auto" w:fill="auto"/>
          </w:tcPr>
          <w:p w:rsidR="00FE5C51" w:rsidRPr="00FE5C51" w:rsidRDefault="009318D7" w:rsidP="00FE5C51">
            <w:pPr>
              <w:rPr>
                <w:rFonts w:cs="Arial"/>
                <w:sz w:val="22"/>
              </w:rPr>
            </w:pPr>
            <w:r>
              <w:rPr>
                <w:rFonts w:cs="Arial"/>
                <w:sz w:val="22"/>
              </w:rPr>
              <w:t>Y</w:t>
            </w:r>
          </w:p>
        </w:tc>
        <w:tc>
          <w:tcPr>
            <w:tcW w:w="6945" w:type="dxa"/>
            <w:shd w:val="clear" w:color="auto" w:fill="auto"/>
          </w:tcPr>
          <w:p w:rsidR="00FE5C51" w:rsidRPr="00FE5C51" w:rsidRDefault="00FE5C51" w:rsidP="00FE5C51">
            <w:pPr>
              <w:rPr>
                <w:rFonts w:cs="Arial"/>
                <w:sz w:val="22"/>
              </w:rPr>
            </w:pPr>
            <w:r w:rsidRPr="00FE5C51">
              <w:rPr>
                <w:rFonts w:cs="Arial"/>
                <w:sz w:val="22"/>
              </w:rPr>
              <w:t xml:space="preserve">Yes, as with all indicators in the AMR we will continue to review whether or not the data reported is useful. In this instance we believe that the inclusion of the inner and outer cordon point data is a useful and relevant piece of information for the Council to consider when it comes to its planning policies and when dealing with strategic planning issues that go beyond the city’s boundaries as part of fulfilling our ‘duty to co-operate’. For example, when evaluating sites to meet the City’s unmet housing need, this data is highly relevant. The traffic data leads the City Council to a preference for sites on the edge of the city with ample public transport, walking and cycling provision over sites further away and without such provision, such as the recently proposed </w:t>
            </w:r>
            <w:proofErr w:type="spellStart"/>
            <w:r w:rsidRPr="00FE5C51">
              <w:rPr>
                <w:rFonts w:cs="Arial"/>
                <w:sz w:val="22"/>
              </w:rPr>
              <w:t>Chalgrove</w:t>
            </w:r>
            <w:proofErr w:type="spellEnd"/>
            <w:r w:rsidRPr="00FE5C51">
              <w:rPr>
                <w:rFonts w:cs="Arial"/>
                <w:sz w:val="22"/>
              </w:rPr>
              <w:t xml:space="preserve"> Airfield site.</w:t>
            </w:r>
          </w:p>
        </w:tc>
      </w:tr>
    </w:tbl>
    <w:p w:rsidR="00FE5C51" w:rsidRDefault="00FE5C51" w:rsidP="00FE5C51">
      <w:pPr>
        <w:rPr>
          <w:rFonts w:cs="Arial"/>
        </w:rPr>
      </w:pPr>
    </w:p>
    <w:p w:rsidR="00AB73AB" w:rsidRDefault="00AB73AB" w:rsidP="00FE5C51">
      <w:pPr>
        <w:rPr>
          <w:rFonts w:cs="Arial"/>
        </w:rPr>
      </w:pPr>
    </w:p>
    <w:p w:rsidR="00FE5C51" w:rsidRPr="00FE5C51" w:rsidRDefault="00FE5C51" w:rsidP="00FE5C51">
      <w:pPr>
        <w:rPr>
          <w:rFonts w:cs="Arial"/>
          <w:b/>
          <w:sz w:val="22"/>
        </w:rPr>
      </w:pPr>
      <w:r w:rsidRPr="00FE5C51">
        <w:rPr>
          <w:rFonts w:cs="Arial"/>
          <w:b/>
          <w:sz w:val="22"/>
        </w:rPr>
        <w:t>Digital Strategy</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276"/>
        <w:gridCol w:w="6945"/>
      </w:tblGrid>
      <w:tr w:rsidR="00FE5C51" w:rsidRPr="00FE5C51" w:rsidTr="00FE5C51">
        <w:tc>
          <w:tcPr>
            <w:tcW w:w="6062" w:type="dxa"/>
            <w:shd w:val="clear" w:color="auto" w:fill="D9D9D9"/>
            <w:vAlign w:val="center"/>
          </w:tcPr>
          <w:p w:rsidR="00FE5C51" w:rsidRPr="00FE5C51" w:rsidRDefault="00FE5C51" w:rsidP="00FE5C51">
            <w:pPr>
              <w:rPr>
                <w:rFonts w:cs="Arial"/>
                <w:b/>
                <w:i/>
                <w:sz w:val="22"/>
              </w:rPr>
            </w:pPr>
            <w:r w:rsidRPr="00FE5C51">
              <w:rPr>
                <w:rFonts w:cs="Arial"/>
                <w:b/>
                <w:i/>
                <w:sz w:val="22"/>
              </w:rPr>
              <w:t>Recommendation</w:t>
            </w:r>
          </w:p>
        </w:tc>
        <w:tc>
          <w:tcPr>
            <w:tcW w:w="1276" w:type="dxa"/>
            <w:shd w:val="clear" w:color="auto" w:fill="D9D9D9"/>
            <w:vAlign w:val="center"/>
          </w:tcPr>
          <w:p w:rsidR="00FE5C51" w:rsidRPr="00FE5C51" w:rsidRDefault="00FE5C51" w:rsidP="00FE5C51">
            <w:pPr>
              <w:rPr>
                <w:rFonts w:cs="Arial"/>
                <w:b/>
                <w:i/>
                <w:sz w:val="22"/>
              </w:rPr>
            </w:pPr>
            <w:r w:rsidRPr="00FE5C51">
              <w:rPr>
                <w:rFonts w:cs="Arial"/>
                <w:b/>
                <w:i/>
                <w:sz w:val="22"/>
              </w:rPr>
              <w:t>Agreed?</w:t>
            </w:r>
          </w:p>
        </w:tc>
        <w:tc>
          <w:tcPr>
            <w:tcW w:w="6945" w:type="dxa"/>
            <w:shd w:val="clear" w:color="auto" w:fill="D9D9D9"/>
            <w:vAlign w:val="center"/>
          </w:tcPr>
          <w:p w:rsidR="00FE5C51" w:rsidRPr="00FE5C51" w:rsidRDefault="00FE5C51" w:rsidP="00FE5C51">
            <w:pPr>
              <w:rPr>
                <w:rFonts w:cs="Arial"/>
                <w:b/>
                <w:i/>
                <w:sz w:val="22"/>
              </w:rPr>
            </w:pPr>
            <w:r w:rsidRPr="00FE5C51">
              <w:rPr>
                <w:rFonts w:cs="Arial"/>
                <w:b/>
                <w:i/>
                <w:sz w:val="22"/>
              </w:rPr>
              <w:t>Comment</w:t>
            </w:r>
          </w:p>
        </w:tc>
      </w:tr>
      <w:tr w:rsidR="00FE5C51" w:rsidRPr="00FE5C51" w:rsidTr="00FE5C51">
        <w:tc>
          <w:tcPr>
            <w:tcW w:w="6062" w:type="dxa"/>
            <w:shd w:val="clear" w:color="auto" w:fill="auto"/>
          </w:tcPr>
          <w:p w:rsidR="00FE5C51" w:rsidRPr="00FE5C51" w:rsidRDefault="00FE5C51" w:rsidP="00FE5C51">
            <w:pPr>
              <w:rPr>
                <w:rFonts w:cs="Arial"/>
                <w:sz w:val="22"/>
              </w:rPr>
            </w:pPr>
            <w:r w:rsidRPr="00FE5C51">
              <w:rPr>
                <w:rFonts w:cs="Arial"/>
                <w:sz w:val="22"/>
              </w:rPr>
              <w:t>1. That the Council consults with disability groups on improving the accessibility of online council services.</w:t>
            </w:r>
          </w:p>
        </w:tc>
        <w:tc>
          <w:tcPr>
            <w:tcW w:w="1276" w:type="dxa"/>
            <w:shd w:val="clear" w:color="auto" w:fill="auto"/>
          </w:tcPr>
          <w:p w:rsidR="00FE5C51" w:rsidRPr="00FE5C51" w:rsidRDefault="00FE5C51" w:rsidP="00FE5C51">
            <w:pPr>
              <w:jc w:val="center"/>
              <w:rPr>
                <w:rFonts w:cs="Arial"/>
                <w:sz w:val="22"/>
              </w:rPr>
            </w:pPr>
            <w:r w:rsidRPr="00FE5C51">
              <w:rPr>
                <w:rFonts w:cs="Arial"/>
                <w:sz w:val="22"/>
              </w:rPr>
              <w:t>Y</w:t>
            </w:r>
          </w:p>
        </w:tc>
        <w:tc>
          <w:tcPr>
            <w:tcW w:w="6945" w:type="dxa"/>
            <w:shd w:val="clear" w:color="auto" w:fill="auto"/>
          </w:tcPr>
          <w:p w:rsidR="00FE5C51" w:rsidRPr="00FE5C51" w:rsidRDefault="00FE5C51" w:rsidP="00FE5C51">
            <w:pPr>
              <w:rPr>
                <w:rFonts w:cs="Arial"/>
                <w:sz w:val="22"/>
              </w:rPr>
            </w:pPr>
            <w:r w:rsidRPr="00FE5C51">
              <w:rPr>
                <w:rFonts w:cs="Arial"/>
                <w:sz w:val="22"/>
              </w:rPr>
              <w:t>The involvement of representative groups, alongside using national best practice for digital accessibility, will be used to action the commitment in the Strategy and Action Plan</w:t>
            </w:r>
          </w:p>
        </w:tc>
      </w:tr>
      <w:tr w:rsidR="00FE5C51" w:rsidRPr="00FE5C51" w:rsidTr="00FE5C51">
        <w:tc>
          <w:tcPr>
            <w:tcW w:w="6062" w:type="dxa"/>
            <w:shd w:val="clear" w:color="auto" w:fill="auto"/>
          </w:tcPr>
          <w:p w:rsidR="00FE5C51" w:rsidRPr="00FE5C51" w:rsidRDefault="00FE5C51" w:rsidP="00FE5C51">
            <w:pPr>
              <w:rPr>
                <w:rFonts w:cs="Arial"/>
                <w:sz w:val="22"/>
              </w:rPr>
            </w:pPr>
            <w:r w:rsidRPr="00FE5C51">
              <w:rPr>
                <w:rFonts w:cs="Arial"/>
                <w:sz w:val="22"/>
              </w:rPr>
              <w:t>2. That the Digital Strategy and Action Plan consider the needs of visitors to Oxford, in particular how the Council website could direct visitors to tourist providers.</w:t>
            </w:r>
          </w:p>
        </w:tc>
        <w:tc>
          <w:tcPr>
            <w:tcW w:w="1276" w:type="dxa"/>
            <w:shd w:val="clear" w:color="auto" w:fill="auto"/>
          </w:tcPr>
          <w:p w:rsidR="00FE5C51" w:rsidRPr="00FE5C51" w:rsidRDefault="00FE5C51" w:rsidP="00FE5C51">
            <w:pPr>
              <w:jc w:val="center"/>
              <w:rPr>
                <w:rFonts w:cs="Arial"/>
                <w:sz w:val="22"/>
              </w:rPr>
            </w:pPr>
            <w:r w:rsidRPr="00FE5C51">
              <w:rPr>
                <w:rFonts w:cs="Arial"/>
                <w:sz w:val="22"/>
              </w:rPr>
              <w:t>Y</w:t>
            </w:r>
          </w:p>
        </w:tc>
        <w:tc>
          <w:tcPr>
            <w:tcW w:w="6945" w:type="dxa"/>
            <w:shd w:val="clear" w:color="auto" w:fill="auto"/>
          </w:tcPr>
          <w:p w:rsidR="00FE5C51" w:rsidRPr="00FE5C51" w:rsidRDefault="00FE5C51" w:rsidP="00FE5C51">
            <w:pPr>
              <w:rPr>
                <w:rFonts w:cs="Arial"/>
                <w:sz w:val="22"/>
              </w:rPr>
            </w:pPr>
            <w:r w:rsidRPr="00FE5C51">
              <w:rPr>
                <w:rFonts w:cs="Arial"/>
                <w:sz w:val="22"/>
              </w:rPr>
              <w:t xml:space="preserve">We will review the current provision on our website. Our mobile app already includes a ‘find my nearest’ function for visitors to Oxford. </w:t>
            </w:r>
          </w:p>
        </w:tc>
      </w:tr>
      <w:tr w:rsidR="00FE5C51" w:rsidRPr="00FE5C51" w:rsidTr="00FE5C51">
        <w:tc>
          <w:tcPr>
            <w:tcW w:w="6062" w:type="dxa"/>
            <w:shd w:val="clear" w:color="auto" w:fill="auto"/>
          </w:tcPr>
          <w:p w:rsidR="00FE5C51" w:rsidRPr="00FE5C51" w:rsidRDefault="00FE5C51" w:rsidP="00FE5C51">
            <w:pPr>
              <w:rPr>
                <w:rFonts w:cs="Arial"/>
                <w:sz w:val="22"/>
              </w:rPr>
            </w:pPr>
            <w:r w:rsidRPr="00FE5C51">
              <w:rPr>
                <w:rFonts w:cs="Arial"/>
                <w:sz w:val="22"/>
              </w:rPr>
              <w:lastRenderedPageBreak/>
              <w:t>3. That the Council prioritises improving the ease of use of online planning services, and includes this longer-term aim in the Action Plan.</w:t>
            </w:r>
          </w:p>
        </w:tc>
        <w:tc>
          <w:tcPr>
            <w:tcW w:w="1276" w:type="dxa"/>
            <w:shd w:val="clear" w:color="auto" w:fill="auto"/>
          </w:tcPr>
          <w:p w:rsidR="00FE5C51" w:rsidRPr="00FE5C51" w:rsidRDefault="00FE5C51" w:rsidP="00FE5C51">
            <w:pPr>
              <w:jc w:val="center"/>
              <w:rPr>
                <w:rFonts w:cs="Arial"/>
                <w:sz w:val="22"/>
              </w:rPr>
            </w:pPr>
            <w:r w:rsidRPr="00FE5C51">
              <w:rPr>
                <w:rFonts w:cs="Arial"/>
                <w:sz w:val="22"/>
              </w:rPr>
              <w:t>In Part</w:t>
            </w:r>
          </w:p>
        </w:tc>
        <w:tc>
          <w:tcPr>
            <w:tcW w:w="6945" w:type="dxa"/>
            <w:shd w:val="clear" w:color="auto" w:fill="auto"/>
          </w:tcPr>
          <w:p w:rsidR="00FE5C51" w:rsidRPr="00FE5C51" w:rsidRDefault="00FE5C51" w:rsidP="00FE5C51">
            <w:pPr>
              <w:rPr>
                <w:rFonts w:cs="Arial"/>
                <w:sz w:val="22"/>
              </w:rPr>
            </w:pPr>
            <w:r w:rsidRPr="00FE5C51">
              <w:rPr>
                <w:rFonts w:cs="Arial"/>
                <w:sz w:val="22"/>
              </w:rPr>
              <w:t xml:space="preserve">Planning is one of the most popular services accessed by the public through our website. In common with a significant number of other local authorities we use a national leading software system to achieve this. </w:t>
            </w:r>
          </w:p>
          <w:p w:rsidR="00FE5C51" w:rsidRPr="00FE5C51" w:rsidRDefault="00FE5C51" w:rsidP="00FE5C51">
            <w:pPr>
              <w:rPr>
                <w:rFonts w:cs="Arial"/>
                <w:sz w:val="22"/>
              </w:rPr>
            </w:pPr>
          </w:p>
          <w:p w:rsidR="00FE5C51" w:rsidRPr="00FE5C51" w:rsidRDefault="00FE5C51" w:rsidP="00FE5C51">
            <w:pPr>
              <w:rPr>
                <w:rFonts w:cs="Arial"/>
                <w:sz w:val="22"/>
              </w:rPr>
            </w:pPr>
            <w:r w:rsidRPr="00FE5C51">
              <w:rPr>
                <w:rFonts w:cs="Arial"/>
                <w:sz w:val="22"/>
              </w:rPr>
              <w:t xml:space="preserve">Some action has already taken place to discuss potential improvements with our software supplier. In addition, we are actively talking to other local authorities that may have developed their own interface to this software, that we could work with. </w:t>
            </w:r>
          </w:p>
          <w:p w:rsidR="00FE5C51" w:rsidRPr="00FE5C51" w:rsidRDefault="00FE5C51" w:rsidP="00FE5C51">
            <w:pPr>
              <w:rPr>
                <w:rFonts w:cs="Arial"/>
                <w:sz w:val="22"/>
              </w:rPr>
            </w:pPr>
          </w:p>
          <w:p w:rsidR="00FE5C51" w:rsidRPr="00FE5C51" w:rsidRDefault="00FE5C51" w:rsidP="00FE5C51">
            <w:pPr>
              <w:rPr>
                <w:rFonts w:cs="Arial"/>
                <w:sz w:val="22"/>
              </w:rPr>
            </w:pPr>
            <w:r w:rsidRPr="00FE5C51">
              <w:rPr>
                <w:rFonts w:cs="Arial"/>
                <w:sz w:val="22"/>
              </w:rPr>
              <w:t>It is suggested this recommendation is actioned instead as a separate feasibility project within the ICT work plan.</w:t>
            </w:r>
          </w:p>
        </w:tc>
      </w:tr>
      <w:tr w:rsidR="00FE5C51" w:rsidRPr="00FE5C51" w:rsidTr="00FE5C51">
        <w:tc>
          <w:tcPr>
            <w:tcW w:w="6062" w:type="dxa"/>
            <w:tcBorders>
              <w:top w:val="single" w:sz="4" w:space="0" w:color="auto"/>
              <w:left w:val="single" w:sz="4" w:space="0" w:color="auto"/>
              <w:bottom w:val="single" w:sz="4" w:space="0" w:color="auto"/>
              <w:right w:val="single" w:sz="4" w:space="0" w:color="auto"/>
            </w:tcBorders>
            <w:shd w:val="clear" w:color="auto" w:fill="auto"/>
          </w:tcPr>
          <w:p w:rsidR="00FE5C51" w:rsidRPr="00FE5C51" w:rsidRDefault="00FE5C51" w:rsidP="00FE5C51">
            <w:pPr>
              <w:rPr>
                <w:rFonts w:cs="Arial"/>
                <w:sz w:val="22"/>
              </w:rPr>
            </w:pPr>
            <w:r w:rsidRPr="00FE5C51">
              <w:rPr>
                <w:rFonts w:cs="Arial"/>
                <w:sz w:val="22"/>
              </w:rPr>
              <w:t>4. That consideration is given to whether the Council’s website could be more accessible from community centres.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5C51" w:rsidRPr="00FE5C51" w:rsidRDefault="00FE5C51" w:rsidP="00FE5C51">
            <w:pPr>
              <w:jc w:val="center"/>
              <w:rPr>
                <w:rFonts w:cs="Arial"/>
                <w:sz w:val="22"/>
              </w:rPr>
            </w:pPr>
            <w:r>
              <w:rPr>
                <w:rFonts w:cs="Arial"/>
                <w:sz w:val="22"/>
              </w:rPr>
              <w:t>Y</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E5C51" w:rsidRPr="00FE5C51" w:rsidRDefault="00FE5C51" w:rsidP="00FE5C51">
            <w:pPr>
              <w:rPr>
                <w:rFonts w:cs="Arial"/>
                <w:sz w:val="22"/>
              </w:rPr>
            </w:pPr>
            <w:r>
              <w:rPr>
                <w:rFonts w:cs="Arial"/>
                <w:sz w:val="22"/>
              </w:rPr>
              <w:t>We agree that a</w:t>
            </w:r>
            <w:r w:rsidRPr="00FE5C51">
              <w:rPr>
                <w:rFonts w:cs="Arial"/>
                <w:sz w:val="22"/>
              </w:rPr>
              <w:t xml:space="preserve"> scoping exercise be commissioned to determine what publicly accessible computer services are available in different communities of the city</w:t>
            </w:r>
            <w:r w:rsidR="009318D7">
              <w:rPr>
                <w:rFonts w:cs="Arial"/>
                <w:sz w:val="22"/>
              </w:rPr>
              <w:t xml:space="preserve"> (including in community facilities and remote accessibility)</w:t>
            </w:r>
            <w:r w:rsidRPr="00FE5C51">
              <w:rPr>
                <w:rFonts w:cs="Arial"/>
                <w:sz w:val="22"/>
              </w:rPr>
              <w:t>; and work out where the gaps are.</w:t>
            </w:r>
          </w:p>
        </w:tc>
      </w:tr>
      <w:tr w:rsidR="00FE5C51" w:rsidRPr="00FE5C51" w:rsidTr="00FE5C51">
        <w:tc>
          <w:tcPr>
            <w:tcW w:w="6062" w:type="dxa"/>
            <w:tcBorders>
              <w:top w:val="single" w:sz="4" w:space="0" w:color="auto"/>
              <w:left w:val="single" w:sz="4" w:space="0" w:color="auto"/>
              <w:bottom w:val="single" w:sz="4" w:space="0" w:color="auto"/>
              <w:right w:val="single" w:sz="4" w:space="0" w:color="auto"/>
            </w:tcBorders>
            <w:shd w:val="clear" w:color="auto" w:fill="auto"/>
          </w:tcPr>
          <w:p w:rsidR="00FE5C51" w:rsidRPr="00FE5C51" w:rsidRDefault="00FE5C51" w:rsidP="00FE5C51">
            <w:pPr>
              <w:rPr>
                <w:rFonts w:cs="Arial"/>
                <w:sz w:val="22"/>
              </w:rPr>
            </w:pPr>
            <w:r w:rsidRPr="00FE5C51">
              <w:rPr>
                <w:rFonts w:cs="Arial"/>
                <w:sz w:val="22"/>
              </w:rPr>
              <w:t>5. That consideration is given to whether the Digital Strategy could be combined with the Community Engagement Strategy in future.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5C51" w:rsidRPr="00FE5C51" w:rsidRDefault="00FE5C51" w:rsidP="00FE5C51">
            <w:pPr>
              <w:jc w:val="center"/>
              <w:rPr>
                <w:rFonts w:cs="Arial"/>
                <w:sz w:val="22"/>
              </w:rPr>
            </w:pPr>
            <w:r w:rsidRPr="00FE5C51">
              <w:rPr>
                <w:rFonts w:cs="Arial"/>
                <w:sz w:val="22"/>
              </w:rPr>
              <w:t>N</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E5C51" w:rsidRPr="00FE5C51" w:rsidRDefault="00FE5C51" w:rsidP="00FE5C51">
            <w:pPr>
              <w:rPr>
                <w:rFonts w:cs="Arial"/>
                <w:sz w:val="22"/>
              </w:rPr>
            </w:pPr>
            <w:r w:rsidRPr="00FE5C51">
              <w:rPr>
                <w:rFonts w:cs="Arial"/>
                <w:sz w:val="22"/>
              </w:rPr>
              <w:t xml:space="preserve">While there are undoubtedly enhancements to engagement that can arise from using digital channels, there are a wide range of successful methodologies that do not (and should not) use such channels. For example, our successful Rose Hill Community Centre project demonstrated the impact of face-to-face engagement to involve the public in our work. </w:t>
            </w:r>
          </w:p>
          <w:p w:rsidR="00FE5C51" w:rsidRPr="00FE5C51" w:rsidRDefault="00FE5C51" w:rsidP="00FE5C51">
            <w:pPr>
              <w:rPr>
                <w:rFonts w:cs="Arial"/>
                <w:sz w:val="22"/>
              </w:rPr>
            </w:pPr>
          </w:p>
          <w:p w:rsidR="00FE5C51" w:rsidRPr="00FE5C51" w:rsidRDefault="00FE5C51" w:rsidP="00FE5C51">
            <w:pPr>
              <w:rPr>
                <w:rFonts w:cs="Arial"/>
                <w:sz w:val="22"/>
              </w:rPr>
            </w:pPr>
            <w:r w:rsidRPr="00FE5C51">
              <w:rPr>
                <w:rFonts w:cs="Arial"/>
                <w:sz w:val="22"/>
              </w:rPr>
              <w:t xml:space="preserve">It is proposed that the two Strategies remain separate to ensure a focus on their intended areas is retained, but that both Strategies and Action Plans includes a commitment to using digital channels to improve and enhance citizen engagement.  </w:t>
            </w:r>
          </w:p>
        </w:tc>
      </w:tr>
    </w:tbl>
    <w:p w:rsidR="00D07958" w:rsidRPr="00FA7C29" w:rsidRDefault="00D07958" w:rsidP="00AB73AB">
      <w:pPr>
        <w:rPr>
          <w:rFonts w:cs="Arial"/>
          <w:b/>
          <w:sz w:val="22"/>
          <w:szCs w:val="22"/>
        </w:rPr>
      </w:pPr>
    </w:p>
    <w:sectPr w:rsidR="00D07958" w:rsidRPr="00FA7C29" w:rsidSect="0081179F">
      <w:pgSz w:w="16838" w:h="11906" w:orient="landscape"/>
      <w:pgMar w:top="1134" w:right="1418" w:bottom="1134" w:left="1418"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820" w:rsidRDefault="00770820" w:rsidP="00770820">
      <w:r>
        <w:separator/>
      </w:r>
    </w:p>
  </w:endnote>
  <w:endnote w:type="continuationSeparator" w:id="0">
    <w:p w:rsidR="00770820" w:rsidRDefault="00770820" w:rsidP="0077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820" w:rsidRDefault="00770820" w:rsidP="00770820">
      <w:r>
        <w:separator/>
      </w:r>
    </w:p>
  </w:footnote>
  <w:footnote w:type="continuationSeparator" w:id="0">
    <w:p w:rsidR="00770820" w:rsidRDefault="00770820" w:rsidP="00770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798"/>
    <w:multiLevelType w:val="hybridMultilevel"/>
    <w:tmpl w:val="9306C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B62188"/>
    <w:multiLevelType w:val="hybridMultilevel"/>
    <w:tmpl w:val="E75E98D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D065C90"/>
    <w:multiLevelType w:val="hybridMultilevel"/>
    <w:tmpl w:val="9DCC4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DB55AB4"/>
    <w:multiLevelType w:val="hybridMultilevel"/>
    <w:tmpl w:val="FBE2CBB6"/>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D659CF"/>
    <w:multiLevelType w:val="hybridMultilevel"/>
    <w:tmpl w:val="2082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45658C"/>
    <w:multiLevelType w:val="hybridMultilevel"/>
    <w:tmpl w:val="1E5AA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3284FDB"/>
    <w:multiLevelType w:val="hybridMultilevel"/>
    <w:tmpl w:val="9B3E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8D2063"/>
    <w:multiLevelType w:val="hybridMultilevel"/>
    <w:tmpl w:val="C4C41D30"/>
    <w:lvl w:ilvl="0" w:tplc="4D9A62C0">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0E97AC4"/>
    <w:multiLevelType w:val="hybridMultilevel"/>
    <w:tmpl w:val="A9CC7624"/>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EE1EC4"/>
    <w:multiLevelType w:val="hybridMultilevel"/>
    <w:tmpl w:val="E2DA6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F326A8F"/>
    <w:multiLevelType w:val="hybridMultilevel"/>
    <w:tmpl w:val="713E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8"/>
  </w:num>
  <w:num w:numId="5">
    <w:abstractNumId w:val="3"/>
  </w:num>
  <w:num w:numId="6">
    <w:abstractNumId w:val="10"/>
  </w:num>
  <w:num w:numId="7">
    <w:abstractNumId w:val="0"/>
  </w:num>
  <w:num w:numId="8">
    <w:abstractNumId w:val="7"/>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651BE"/>
    <w:rsid w:val="0007474A"/>
    <w:rsid w:val="000B4310"/>
    <w:rsid w:val="00102AB9"/>
    <w:rsid w:val="0011346E"/>
    <w:rsid w:val="001C08EF"/>
    <w:rsid w:val="001F03AC"/>
    <w:rsid w:val="00212E63"/>
    <w:rsid w:val="00290F45"/>
    <w:rsid w:val="003236B3"/>
    <w:rsid w:val="0033084B"/>
    <w:rsid w:val="0034054D"/>
    <w:rsid w:val="003608DF"/>
    <w:rsid w:val="004000D7"/>
    <w:rsid w:val="00475EF0"/>
    <w:rsid w:val="00504E43"/>
    <w:rsid w:val="005C4344"/>
    <w:rsid w:val="00612FE5"/>
    <w:rsid w:val="00654E58"/>
    <w:rsid w:val="0066079B"/>
    <w:rsid w:val="00770820"/>
    <w:rsid w:val="007908F4"/>
    <w:rsid w:val="0081179F"/>
    <w:rsid w:val="00896B8B"/>
    <w:rsid w:val="008A22C6"/>
    <w:rsid w:val="009318D7"/>
    <w:rsid w:val="009354C7"/>
    <w:rsid w:val="00AB73AB"/>
    <w:rsid w:val="00AD57AD"/>
    <w:rsid w:val="00B7537D"/>
    <w:rsid w:val="00C07F80"/>
    <w:rsid w:val="00C32C6A"/>
    <w:rsid w:val="00D07958"/>
    <w:rsid w:val="00DE75D6"/>
    <w:rsid w:val="00E234D4"/>
    <w:rsid w:val="00ED7F43"/>
    <w:rsid w:val="00F65287"/>
    <w:rsid w:val="00F75E75"/>
    <w:rsid w:val="00FA7C29"/>
    <w:rsid w:val="00FD3A85"/>
    <w:rsid w:val="00FE5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475692">
      <w:bodyDiv w:val="1"/>
      <w:marLeft w:val="0"/>
      <w:marRight w:val="0"/>
      <w:marTop w:val="0"/>
      <w:marBottom w:val="0"/>
      <w:divBdr>
        <w:top w:val="none" w:sz="0" w:space="0" w:color="auto"/>
        <w:left w:val="none" w:sz="0" w:space="0" w:color="auto"/>
        <w:bottom w:val="none" w:sz="0" w:space="0" w:color="auto"/>
        <w:right w:val="none" w:sz="0" w:space="0" w:color="auto"/>
      </w:divBdr>
      <w:divsChild>
        <w:div w:id="2003391209">
          <w:marLeft w:val="0"/>
          <w:marRight w:val="0"/>
          <w:marTop w:val="0"/>
          <w:marBottom w:val="0"/>
          <w:divBdr>
            <w:top w:val="none" w:sz="0" w:space="0" w:color="auto"/>
            <w:left w:val="none" w:sz="0" w:space="0" w:color="auto"/>
            <w:bottom w:val="none" w:sz="0" w:space="0" w:color="auto"/>
            <w:right w:val="none" w:sz="0" w:space="0" w:color="auto"/>
          </w:divBdr>
          <w:divsChild>
            <w:div w:id="1069574241">
              <w:marLeft w:val="0"/>
              <w:marRight w:val="0"/>
              <w:marTop w:val="720"/>
              <w:marBottom w:val="720"/>
              <w:divBdr>
                <w:top w:val="none" w:sz="0" w:space="0" w:color="auto"/>
                <w:left w:val="none" w:sz="0" w:space="0" w:color="auto"/>
                <w:bottom w:val="none" w:sz="0" w:space="0" w:color="auto"/>
                <w:right w:val="none" w:sz="0" w:space="0" w:color="auto"/>
              </w:divBdr>
              <w:divsChild>
                <w:div w:id="70123792">
                  <w:marLeft w:val="0"/>
                  <w:marRight w:val="0"/>
                  <w:marTop w:val="0"/>
                  <w:marBottom w:val="0"/>
                  <w:divBdr>
                    <w:top w:val="none" w:sz="0" w:space="0" w:color="auto"/>
                    <w:left w:val="none" w:sz="0" w:space="0" w:color="auto"/>
                    <w:bottom w:val="none" w:sz="0" w:space="0" w:color="auto"/>
                    <w:right w:val="none" w:sz="0" w:space="0" w:color="auto"/>
                  </w:divBdr>
                  <w:divsChild>
                    <w:div w:id="344599358">
                      <w:marLeft w:val="0"/>
                      <w:marRight w:val="0"/>
                      <w:marTop w:val="0"/>
                      <w:marBottom w:val="0"/>
                      <w:divBdr>
                        <w:top w:val="none" w:sz="0" w:space="0" w:color="auto"/>
                        <w:left w:val="none" w:sz="0" w:space="0" w:color="auto"/>
                        <w:bottom w:val="none" w:sz="0" w:space="0" w:color="auto"/>
                        <w:right w:val="none" w:sz="0" w:space="0" w:color="auto"/>
                      </w:divBdr>
                      <w:divsChild>
                        <w:div w:id="1197548710">
                          <w:marLeft w:val="0"/>
                          <w:marRight w:val="0"/>
                          <w:marTop w:val="0"/>
                          <w:marBottom w:val="0"/>
                          <w:divBdr>
                            <w:top w:val="none" w:sz="0" w:space="0" w:color="auto"/>
                            <w:left w:val="none" w:sz="0" w:space="0" w:color="auto"/>
                            <w:bottom w:val="none" w:sz="0" w:space="0" w:color="auto"/>
                            <w:right w:val="none" w:sz="0" w:space="0" w:color="auto"/>
                          </w:divBdr>
                          <w:divsChild>
                            <w:div w:id="596331197">
                              <w:marLeft w:val="0"/>
                              <w:marRight w:val="0"/>
                              <w:marTop w:val="0"/>
                              <w:marBottom w:val="360"/>
                              <w:divBdr>
                                <w:top w:val="none" w:sz="0" w:space="0" w:color="auto"/>
                                <w:left w:val="none" w:sz="0" w:space="0" w:color="auto"/>
                                <w:bottom w:val="none" w:sz="0" w:space="0" w:color="auto"/>
                                <w:right w:val="none" w:sz="0" w:space="0" w:color="auto"/>
                              </w:divBdr>
                              <w:divsChild>
                                <w:div w:id="573511215">
                                  <w:marLeft w:val="0"/>
                                  <w:marRight w:val="0"/>
                                  <w:marTop w:val="0"/>
                                  <w:marBottom w:val="0"/>
                                  <w:divBdr>
                                    <w:top w:val="none" w:sz="0" w:space="0" w:color="auto"/>
                                    <w:left w:val="none" w:sz="0" w:space="0" w:color="auto"/>
                                    <w:bottom w:val="none" w:sz="0" w:space="0" w:color="auto"/>
                                    <w:right w:val="none" w:sz="0" w:space="0" w:color="auto"/>
                                  </w:divBdr>
                                  <w:divsChild>
                                    <w:div w:id="1752196295">
                                      <w:marLeft w:val="0"/>
                                      <w:marRight w:val="0"/>
                                      <w:marTop w:val="120"/>
                                      <w:marBottom w:val="120"/>
                                      <w:divBdr>
                                        <w:top w:val="none" w:sz="0" w:space="0" w:color="auto"/>
                                        <w:left w:val="none" w:sz="0" w:space="0" w:color="auto"/>
                                        <w:bottom w:val="none" w:sz="0" w:space="0" w:color="auto"/>
                                        <w:right w:val="none" w:sz="0" w:space="0" w:color="auto"/>
                                      </w:divBdr>
                                      <w:divsChild>
                                        <w:div w:id="21151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3FFC9-FB1C-4DD6-81E4-BEFEA56E7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abrown2</cp:lastModifiedBy>
  <cp:revision>3</cp:revision>
  <dcterms:created xsi:type="dcterms:W3CDTF">2016-11-23T11:59:00Z</dcterms:created>
  <dcterms:modified xsi:type="dcterms:W3CDTF">2016-11-23T11:59:00Z</dcterms:modified>
</cp:coreProperties>
</file>